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DD" w:rsidRPr="00F25E92" w:rsidRDefault="00B51C61" w:rsidP="00DD01DD">
      <w:p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Приложение № 1</w:t>
      </w:r>
      <w:r w:rsidR="00A62A56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</w:p>
    <w:p w:rsidR="00F25E92" w:rsidRPr="00DD01DD" w:rsidRDefault="00F25E92" w:rsidP="00DD01DD">
      <w:p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38AC" w:rsidRDefault="00DD01DD" w:rsidP="00F25E92">
      <w:pPr>
        <w:autoSpaceDE w:val="0"/>
        <w:autoSpaceDN w:val="0"/>
        <w:adjustRightInd w:val="0"/>
        <w:spacing w:after="60"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01DD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 </w:t>
      </w:r>
      <w:r w:rsidR="00A138AC">
        <w:rPr>
          <w:rFonts w:ascii="Times New Roman" w:hAnsi="Times New Roman" w:cs="Times New Roman"/>
          <w:b/>
          <w:bCs/>
          <w:sz w:val="24"/>
          <w:szCs w:val="24"/>
        </w:rPr>
        <w:t xml:space="preserve">изисквания </w:t>
      </w:r>
    </w:p>
    <w:p w:rsidR="00F25E92" w:rsidRDefault="00F25E92" w:rsidP="00F25E92">
      <w:pPr>
        <w:autoSpaceDE w:val="0"/>
        <w:autoSpaceDN w:val="0"/>
        <w:adjustRightInd w:val="0"/>
        <w:spacing w:after="60"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FE" w:rsidRPr="00500A32" w:rsidRDefault="00A138AC" w:rsidP="00500A3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Приложимо законодателство.</w:t>
      </w:r>
    </w:p>
    <w:p w:rsidR="000264FE" w:rsidRPr="000264FE" w:rsidRDefault="00B51C61" w:rsidP="000264F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0264F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F25E92" w:rsidRPr="000264FE">
        <w:rPr>
          <w:rFonts w:ascii="Times New Roman" w:hAnsi="Times New Roman" w:cs="Times New Roman"/>
          <w:b/>
          <w:bCs/>
          <w:sz w:val="24"/>
          <w:szCs w:val="24"/>
        </w:rPr>
        <w:t>риложение II на Регламент 1804/2023</w:t>
      </w:r>
      <w:r w:rsidR="000264FE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0264FE" w:rsidRDefault="00BD0A63" w:rsidP="000264F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0264FE">
        <w:rPr>
          <w:rFonts w:ascii="Times New Roman" w:hAnsi="Times New Roman" w:cs="Times New Roman"/>
          <w:b/>
          <w:bCs/>
          <w:sz w:val="24"/>
          <w:szCs w:val="24"/>
        </w:rPr>
        <w:t>Делегиран Регламент (ЕС) 2025/656 на Комисията от 2 април 2025 година за изменение на Регламент (ЕС) 2023/1804 на Европейския парламент и на Съвета по отношение на стандартите за безконтактно зареждане, електрическата пътна система, комуникацията „превозно средство към мрежа“ и снабдяването на пътни превозни средства с водород</w:t>
      </w:r>
      <w:r w:rsidR="000264FE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F25E92" w:rsidRDefault="000264FE" w:rsidP="000264F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B51C61" w:rsidRPr="000264FE">
        <w:rPr>
          <w:rFonts w:ascii="Times New Roman" w:hAnsi="Times New Roman" w:cs="Times New Roman"/>
          <w:b/>
          <w:bCs/>
          <w:sz w:val="24"/>
          <w:szCs w:val="24"/>
        </w:rPr>
        <w:t xml:space="preserve">ействащите в областта български и европейски стандарти </w:t>
      </w:r>
    </w:p>
    <w:p w:rsidR="00A138AC" w:rsidRPr="000264FE" w:rsidRDefault="00A138AC" w:rsidP="00500A32">
      <w:pPr>
        <w:pStyle w:val="ListParagraph"/>
        <w:autoSpaceDE w:val="0"/>
        <w:autoSpaceDN w:val="0"/>
        <w:adjustRightInd w:val="0"/>
        <w:spacing w:after="60" w:line="32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E775C" w:rsidRPr="00483140" w:rsidRDefault="00BE775C" w:rsidP="00BE775C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83140">
        <w:rPr>
          <w:rFonts w:ascii="Times New Roman" w:hAnsi="Times New Roman" w:cs="Times New Roman"/>
          <w:sz w:val="24"/>
          <w:szCs w:val="24"/>
        </w:rPr>
        <w:t>Технически спецификации за електрозахранване в автомобилния транспорт</w:t>
      </w:r>
    </w:p>
    <w:p w:rsidR="00BE775C" w:rsidRDefault="00BE775C" w:rsidP="00500A32">
      <w:pPr>
        <w:pStyle w:val="ListParagraph"/>
        <w:autoSpaceDE w:val="0"/>
        <w:autoSpaceDN w:val="0"/>
        <w:adjustRightInd w:val="0"/>
        <w:spacing w:after="60" w:line="320" w:lineRule="exact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A27E2A" w:rsidRPr="00A27E2A" w:rsidRDefault="00A27E2A" w:rsidP="00BE775C">
      <w:pPr>
        <w:pStyle w:val="ListParagraph"/>
        <w:numPr>
          <w:ilvl w:val="1"/>
          <w:numId w:val="12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 xml:space="preserve">Зарядни точки с </w:t>
      </w:r>
      <w:r w:rsidRPr="00A27E2A">
        <w:rPr>
          <w:rFonts w:ascii="Times New Roman" w:hAnsi="Times New Roman" w:cs="Times New Roman"/>
          <w:b/>
          <w:sz w:val="24"/>
          <w:szCs w:val="24"/>
        </w:rPr>
        <w:t>голяма мощност</w:t>
      </w:r>
      <w:r w:rsidRPr="00A27E2A">
        <w:rPr>
          <w:rFonts w:ascii="Times New Roman" w:hAnsi="Times New Roman" w:cs="Times New Roman"/>
          <w:sz w:val="24"/>
          <w:szCs w:val="24"/>
        </w:rPr>
        <w:t xml:space="preserve"> за лекотоварни електрически превозни средства</w:t>
      </w:r>
      <w:r w:rsidR="00BE775C">
        <w:rPr>
          <w:rFonts w:ascii="Times New Roman" w:hAnsi="Times New Roman" w:cs="Times New Roman"/>
          <w:sz w:val="24"/>
          <w:szCs w:val="24"/>
        </w:rPr>
        <w:t xml:space="preserve"> (за покриване на изискванията по </w:t>
      </w:r>
      <w:r w:rsidR="00BE775C" w:rsidRPr="00BE775C">
        <w:rPr>
          <w:rFonts w:ascii="Times New Roman" w:hAnsi="Times New Roman" w:cs="Times New Roman"/>
          <w:sz w:val="24"/>
          <w:szCs w:val="24"/>
        </w:rPr>
        <w:t>член 3, параграф 4, буква а), т. ii) и буква б), т. ii) на регламент 1804/202023</w:t>
      </w:r>
      <w:r w:rsidR="00BE775C">
        <w:rPr>
          <w:rFonts w:ascii="Times New Roman" w:hAnsi="Times New Roman" w:cs="Times New Roman"/>
          <w:sz w:val="24"/>
          <w:szCs w:val="24"/>
        </w:rPr>
        <w:t xml:space="preserve"> г.)</w:t>
      </w:r>
      <w:r w:rsidRPr="00A27E2A">
        <w:rPr>
          <w:rFonts w:ascii="Times New Roman" w:hAnsi="Times New Roman" w:cs="Times New Roman"/>
          <w:sz w:val="24"/>
          <w:szCs w:val="24"/>
        </w:rPr>
        <w:t>:</w:t>
      </w:r>
    </w:p>
    <w:p w:rsidR="00A27E2A" w:rsidRDefault="00A27E2A" w:rsidP="00A27E2A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60" w:line="32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зарядните точки с голяма мощност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A27E2A">
        <w:rPr>
          <w:rFonts w:ascii="Times New Roman" w:hAnsi="Times New Roman" w:cs="Times New Roman"/>
          <w:sz w:val="24"/>
          <w:szCs w:val="24"/>
        </w:rPr>
        <w:t>), предназначени за лекотоварни електрически превозни средства и инсталирани или обновени считано от 8 януари 2026 година, се оборудват, за целите на оперативната съвместимост, най-малко със съединители тип 2 за превозни средства за зареждане в режим 3, описани в стандарт EN IEC 62196-2:2022. зарядните точки с голяма мощност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A27E2A">
        <w:rPr>
          <w:rFonts w:ascii="Times New Roman" w:hAnsi="Times New Roman" w:cs="Times New Roman"/>
          <w:sz w:val="24"/>
          <w:szCs w:val="24"/>
        </w:rPr>
        <w:t>), инсталирани преди посочената дата, трябва да продължат да отговарят на стандарт EN IEC 62196-2:2017 до обновяването им;</w:t>
      </w:r>
    </w:p>
    <w:p w:rsidR="00A27E2A" w:rsidRDefault="00A27E2A" w:rsidP="00A27E2A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60" w:line="32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зарядните точки с голяма мощност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>), предназначени за лекотоварни електрически превозни средства и инсталирани или обновени считано от 8 януари 2026 година, се оборудват, за целите на оперативната съвместимост, най-малко със съединители за превозни средства на комбинираната зарядна система „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Combo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2“ за зареждане в режим 4, описани в стандарт EN IEC 62196-3:2022. зарядните точки с голяма мощност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>), инсталирани преди посочената дата трябва да продължат да отговарят на стандарт EN IEC 62196-3:2014 до обновяването им;</w:t>
      </w:r>
    </w:p>
    <w:p w:rsidR="00BE775C" w:rsidRPr="00A27E2A" w:rsidRDefault="00BE775C" w:rsidP="00BE775C">
      <w:pPr>
        <w:pStyle w:val="ListParagraph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 xml:space="preserve">Зарядни точки с </w:t>
      </w:r>
      <w:r w:rsidRPr="00A27E2A">
        <w:rPr>
          <w:rFonts w:ascii="Times New Roman" w:hAnsi="Times New Roman" w:cs="Times New Roman"/>
          <w:b/>
          <w:sz w:val="24"/>
          <w:szCs w:val="24"/>
        </w:rPr>
        <w:t>нормална мощност</w:t>
      </w:r>
      <w:r w:rsidRPr="00A27E2A">
        <w:rPr>
          <w:rFonts w:ascii="Times New Roman" w:hAnsi="Times New Roman" w:cs="Times New Roman"/>
          <w:sz w:val="24"/>
          <w:szCs w:val="24"/>
        </w:rPr>
        <w:t xml:space="preserve"> за лекотоварни електрически превозни средства</w:t>
      </w:r>
      <w:r>
        <w:rPr>
          <w:rFonts w:ascii="Times New Roman" w:hAnsi="Times New Roman" w:cs="Times New Roman"/>
          <w:sz w:val="24"/>
          <w:szCs w:val="24"/>
        </w:rPr>
        <w:t xml:space="preserve"> (за други зарядни точки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зарядния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център, допълващи към основните </w:t>
      </w:r>
      <w:r w:rsidRPr="00BE775C">
        <w:rPr>
          <w:rFonts w:ascii="Times New Roman" w:hAnsi="Times New Roman" w:cs="Times New Roman"/>
          <w:sz w:val="24"/>
          <w:szCs w:val="24"/>
        </w:rPr>
        <w:t>зарядни точки с голяма мощност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27E2A">
        <w:rPr>
          <w:rFonts w:ascii="Times New Roman" w:hAnsi="Times New Roman" w:cs="Times New Roman"/>
          <w:sz w:val="24"/>
          <w:szCs w:val="24"/>
        </w:rPr>
        <w:t>:</w:t>
      </w:r>
    </w:p>
    <w:p w:rsidR="00BE775C" w:rsidRDefault="00BE775C" w:rsidP="00BE775C">
      <w:pPr>
        <w:pStyle w:val="ListParagraph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60" w:line="32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зарядните точки с нормална мощност за променлив ток (</w:t>
      </w:r>
      <w:r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A27E2A">
        <w:rPr>
          <w:rFonts w:ascii="Times New Roman" w:hAnsi="Times New Roman" w:cs="Times New Roman"/>
          <w:sz w:val="24"/>
          <w:szCs w:val="24"/>
        </w:rPr>
        <w:t xml:space="preserve">), предназначени за лекотоварни електрически превозни средства и инсталирани или обновени считано от 8 януари 2026 година , се оборудват, за целите на оперативната съвместимост, най-малко с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щепселни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кутии или съединители за превозни средства тип 2 за зареждане в режим 3, описани в стандарт EN IEC 62196-2:2022, или, ако мощността им е по-малка или равна на 3,7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и основното им предназначение е зареждане на електрически превозни средства в режим 2, с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щепселни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кутии, съответстващи на стандарт IEC 60884-1:2022; </w:t>
      </w:r>
      <w:r w:rsidRPr="00A27E2A">
        <w:rPr>
          <w:rFonts w:ascii="Times New Roman" w:hAnsi="Times New Roman" w:cs="Times New Roman"/>
          <w:sz w:val="24"/>
          <w:szCs w:val="24"/>
        </w:rPr>
        <w:lastRenderedPageBreak/>
        <w:t>зарядните точки с нормална мощност за променлив ток (</w:t>
      </w:r>
      <w:r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A27E2A">
        <w:rPr>
          <w:rFonts w:ascii="Times New Roman" w:hAnsi="Times New Roman" w:cs="Times New Roman"/>
          <w:sz w:val="24"/>
          <w:szCs w:val="24"/>
        </w:rPr>
        <w:t>) инсталирани преди посочената дата трябва да продължат да отговарят на стандарт EN IEC 62196-2:2017 до обновяването им;</w:t>
      </w:r>
    </w:p>
    <w:p w:rsidR="00BE775C" w:rsidRDefault="00BE775C" w:rsidP="00BE775C">
      <w:pPr>
        <w:pStyle w:val="ListParagraph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60" w:line="32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зарядните точки с но</w:t>
      </w:r>
      <w:r>
        <w:rPr>
          <w:rFonts w:ascii="Times New Roman" w:hAnsi="Times New Roman" w:cs="Times New Roman"/>
          <w:sz w:val="24"/>
          <w:szCs w:val="24"/>
        </w:rPr>
        <w:t>рмална мощност за постоянен ток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(DC)</w:t>
      </w:r>
      <w:r w:rsidRPr="00A27E2A">
        <w:rPr>
          <w:rFonts w:ascii="Times New Roman" w:hAnsi="Times New Roman" w:cs="Times New Roman"/>
          <w:sz w:val="24"/>
          <w:szCs w:val="24"/>
        </w:rPr>
        <w:t>, предназначени за лекотоварни електрически превозни средства и инсталирани или обновени считано от 8 януари 2026 година, се оборудват, за целите на оперативната съвместимост, най-малко със съединители за превозни средства на комбинираната зарядна система „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Combo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2“ за зареждане в режим 4, описани в стандарт EN IEC 62196-3:2022.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A27E2A">
        <w:rPr>
          <w:rFonts w:ascii="Times New Roman" w:hAnsi="Times New Roman" w:cs="Times New Roman"/>
          <w:sz w:val="24"/>
          <w:szCs w:val="24"/>
        </w:rPr>
        <w:t>арядните точки с нормална мощност за постоянен ток (</w:t>
      </w:r>
      <w:r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27E2A">
        <w:rPr>
          <w:rFonts w:ascii="Times New Roman" w:hAnsi="Times New Roman" w:cs="Times New Roman"/>
          <w:sz w:val="24"/>
          <w:szCs w:val="24"/>
        </w:rPr>
        <w:t xml:space="preserve"> инсталирани преди посочената дата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27E2A">
        <w:rPr>
          <w:rFonts w:ascii="Times New Roman" w:hAnsi="Times New Roman" w:cs="Times New Roman"/>
          <w:sz w:val="24"/>
          <w:szCs w:val="24"/>
        </w:rPr>
        <w:t xml:space="preserve"> трябва да продължат да отговарят на стандарт EN IEC 62196-3:2014 до обновяването им;</w:t>
      </w:r>
    </w:p>
    <w:p w:rsidR="00BE775C" w:rsidRPr="00A27E2A" w:rsidRDefault="00BE775C" w:rsidP="00BE775C">
      <w:pPr>
        <w:pStyle w:val="ListParagraph"/>
        <w:tabs>
          <w:tab w:val="left" w:pos="993"/>
        </w:tabs>
        <w:autoSpaceDE w:val="0"/>
        <w:autoSpaceDN w:val="0"/>
        <w:adjustRightInd w:val="0"/>
        <w:spacing w:after="60" w:line="320" w:lineRule="exact"/>
        <w:ind w:left="709"/>
        <w:jc w:val="both"/>
        <w:rPr>
          <w:rFonts w:ascii="Times New Roman" w:hAnsi="Times New Roman" w:cs="Times New Roman"/>
          <w:sz w:val="10"/>
          <w:szCs w:val="10"/>
        </w:rPr>
      </w:pP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2A">
        <w:rPr>
          <w:rFonts w:ascii="Times New Roman" w:hAnsi="Times New Roman" w:cs="Times New Roman"/>
          <w:sz w:val="24"/>
          <w:szCs w:val="24"/>
        </w:rPr>
        <w:t>Зарядни точки за електрически превозни средства от категория L: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1.3.1.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2A">
        <w:rPr>
          <w:rFonts w:ascii="Times New Roman" w:hAnsi="Times New Roman" w:cs="Times New Roman"/>
          <w:sz w:val="24"/>
          <w:szCs w:val="24"/>
        </w:rPr>
        <w:t>Публично достъпните зарядни точки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A27E2A">
        <w:rPr>
          <w:rFonts w:ascii="Times New Roman" w:hAnsi="Times New Roman" w:cs="Times New Roman"/>
          <w:sz w:val="24"/>
          <w:szCs w:val="24"/>
        </w:rPr>
        <w:t xml:space="preserve">), запазени за електрически превозни средства от категория L с мощност над 3,7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и инсталирани или обновени считано от 8 януари 2026 година, се оборудват, за целите на оперативната съвместимост, най-малко с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щепселни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кутии или съединители тип 2 за превозни средства за зареждане в режим 3, описани в стандарт EN IEC 62196-2:2022; публично достъпните зарядни точки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A27E2A">
        <w:rPr>
          <w:rFonts w:ascii="Times New Roman" w:hAnsi="Times New Roman" w:cs="Times New Roman"/>
          <w:sz w:val="24"/>
          <w:szCs w:val="24"/>
        </w:rPr>
        <w:t xml:space="preserve">), запазени за електрически превозни средства от категория L с мощност над 3,7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и инсталирани преди посочената дата, трябва да продължат да отговарят на стандарт EN IEC 62196-2:2017 до обновяването им.</w:t>
      </w:r>
    </w:p>
    <w:p w:rsidR="00B51C61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1.3.3.Публично достъпните зарядни точки с нормална мощност и зарядните точки с голяма мощност,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>), запазени за електрически превозни средства от категория L- и инсталирани или обновени считано от 8 януари 2026 година, се оборудват, за целите на оперативната съвместимост, най-малко със съединители за превозни средства на комбинираната зарядна система „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Combo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2“ за зареждане в режим 4, описани в стандарт EN IEC 62196-3:2022; публично достъпните зарядни точки с нормална мощност и зарядните точки с голяма мощност,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>), инсталирани преди посочената дата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27E2A">
        <w:rPr>
          <w:rFonts w:ascii="Times New Roman" w:hAnsi="Times New Roman" w:cs="Times New Roman"/>
          <w:sz w:val="24"/>
          <w:szCs w:val="24"/>
        </w:rPr>
        <w:t xml:space="preserve"> трябва да продължат да отговарят на стандарт EN IEC 62196-3:2014 до обновяването им;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27E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2A">
        <w:rPr>
          <w:rFonts w:ascii="Times New Roman" w:hAnsi="Times New Roman" w:cs="Times New Roman"/>
          <w:sz w:val="24"/>
          <w:szCs w:val="24"/>
        </w:rPr>
        <w:t>Зарядни точки с голяма мощност за тежкотоварни електрически превозни средства:</w:t>
      </w:r>
    </w:p>
    <w:p w:rsidR="00A27E2A" w:rsidRPr="00A27E2A" w:rsidRDefault="00A27E2A" w:rsidP="00A27E2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60" w:line="320" w:lineRule="exac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Зарядните точки с голяма мощност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>) за инфраструктура за зареждане с електроенергия, които могат да захранват както лекотоварни, така и тежкотоварни електрически превозни средства с електроенергия, се оборудват, за целите на оперативната съвместимост, най-малко със съединители за превозни средства на комбинираната зарядна система „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Combo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2“ за зареждане в режим 4, описани в стандарт EN IEC 62196-3:2022.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27E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2A">
        <w:rPr>
          <w:rFonts w:ascii="Times New Roman" w:hAnsi="Times New Roman" w:cs="Times New Roman"/>
          <w:sz w:val="24"/>
          <w:szCs w:val="24"/>
        </w:rPr>
        <w:t>Технически спецификации за индукционно статично безконтактно зареждане с електроенергия за лекотоварни електрически превозни средства: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 целите на оперативната съвместимост зарядните точки за лекотоварни електрически превозни средства, предназначени за индукционно статично безконтактно зареждане, съответстват на следното: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lastRenderedPageBreak/>
        <w:t>— EN IEC 61980-1:2021 „Системи за безконтактно прехвърляне на енергия за зареждане на електрически превозни средства. Част 1: Общи изисквания“;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— EN IEC 61980-2:2023 „Системи за безконтактно прехвърляне на енергия за зареждане на електрически превозни средства. Част 2: Специфични изисквания към комуникацията и действията на системи за безконтактно прехвърляне на енергия чрез магнитно поле“;</w:t>
      </w:r>
    </w:p>
    <w:p w:rsid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— EN IEC 61980-3:2022 „Системи за безконтактно прехвърляне на енергия за зареждане на електрически превозни средства. Част 3: Специфични изисквания за безконтактно прехвърляне на енергия чрез магнитно поле.“</w:t>
      </w:r>
    </w:p>
    <w:p w:rsidR="00A27E2A" w:rsidRPr="00A27E2A" w:rsidRDefault="00C514DE" w:rsidP="00C514DE">
      <w:pPr>
        <w:autoSpaceDE w:val="0"/>
        <w:autoSpaceDN w:val="0"/>
        <w:adjustRightInd w:val="0"/>
        <w:spacing w:after="60" w:line="32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A27E2A" w:rsidRPr="00A27E2A">
        <w:rPr>
          <w:rFonts w:ascii="Times New Roman" w:hAnsi="Times New Roman" w:cs="Times New Roman"/>
          <w:sz w:val="24"/>
          <w:szCs w:val="24"/>
        </w:rPr>
        <w:t xml:space="preserve">Технически спецификации за електрическа пътна система за динамично наземно </w:t>
      </w:r>
      <w:proofErr w:type="spellStart"/>
      <w:r w:rsidR="00A27E2A" w:rsidRPr="00A27E2A">
        <w:rPr>
          <w:rFonts w:ascii="Times New Roman" w:hAnsi="Times New Roman" w:cs="Times New Roman"/>
          <w:sz w:val="24"/>
          <w:szCs w:val="24"/>
        </w:rPr>
        <w:t>енергозахранване</w:t>
      </w:r>
      <w:proofErr w:type="spellEnd"/>
      <w:r w:rsidR="00A27E2A" w:rsidRPr="00A27E2A">
        <w:rPr>
          <w:rFonts w:ascii="Times New Roman" w:hAnsi="Times New Roman" w:cs="Times New Roman"/>
          <w:sz w:val="24"/>
          <w:szCs w:val="24"/>
        </w:rPr>
        <w:t xml:space="preserve"> посредством контактни релси за лекотоварни и тежкотоварни електрически превозни средства:</w:t>
      </w:r>
    </w:p>
    <w:p w:rsidR="00A27E2A" w:rsidRP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>За целите на оперативната съвместимост инфраструктурата за зареждане с електроенергия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AC)</w:t>
      </w:r>
      <w:r w:rsidRPr="00A27E2A">
        <w:rPr>
          <w:rFonts w:ascii="Times New Roman" w:hAnsi="Times New Roman" w:cs="Times New Roman"/>
          <w:sz w:val="24"/>
          <w:szCs w:val="24"/>
        </w:rPr>
        <w:t xml:space="preserve"> и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A27E2A">
        <w:rPr>
          <w:rFonts w:ascii="Times New Roman" w:hAnsi="Times New Roman" w:cs="Times New Roman"/>
          <w:sz w:val="24"/>
          <w:szCs w:val="24"/>
        </w:rPr>
        <w:t xml:space="preserve">), предназначена за електрическа пътна система за динамично наземно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енергозахранване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посредством контактни релси за лекотоварни и тежкотоварни електрически превозни средства, оборудвана с наземни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токоснемателни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устройства, за да се даде възможност за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токоснемане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при пътни превозни средства от контактна захранваща линия, вградена в платното, съответства на следното:</w:t>
      </w:r>
    </w:p>
    <w:p w:rsidR="00A27E2A" w:rsidRDefault="00A27E2A" w:rsidP="00A27E2A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E2A">
        <w:rPr>
          <w:rFonts w:ascii="Times New Roman" w:hAnsi="Times New Roman" w:cs="Times New Roman"/>
          <w:sz w:val="24"/>
          <w:szCs w:val="24"/>
        </w:rPr>
        <w:t xml:space="preserve">— CLC/TS 50717:2022 „Технически изисквания за </w:t>
      </w:r>
      <w:proofErr w:type="spellStart"/>
      <w:r w:rsidRPr="00A27E2A">
        <w:rPr>
          <w:rFonts w:ascii="Times New Roman" w:hAnsi="Times New Roman" w:cs="Times New Roman"/>
          <w:sz w:val="24"/>
          <w:szCs w:val="24"/>
        </w:rPr>
        <w:t>токоснемателни</w:t>
      </w:r>
      <w:proofErr w:type="spellEnd"/>
      <w:r w:rsidRPr="00A27E2A">
        <w:rPr>
          <w:rFonts w:ascii="Times New Roman" w:hAnsi="Times New Roman" w:cs="Times New Roman"/>
          <w:sz w:val="24"/>
          <w:szCs w:val="24"/>
        </w:rPr>
        <w:t xml:space="preserve"> устройства за наземна система за захранване на пътни превозни средства в експлоатация.“;</w:t>
      </w:r>
    </w:p>
    <w:p w:rsidR="00C514DE" w:rsidRPr="00C514DE" w:rsidRDefault="00C514DE" w:rsidP="00C514DE">
      <w:pPr>
        <w:autoSpaceDE w:val="0"/>
        <w:autoSpaceDN w:val="0"/>
        <w:adjustRightInd w:val="0"/>
        <w:spacing w:after="60" w:line="32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514DE">
        <w:rPr>
          <w:rFonts w:ascii="Times New Roman" w:hAnsi="Times New Roman" w:cs="Times New Roman"/>
          <w:sz w:val="24"/>
          <w:szCs w:val="24"/>
        </w:rPr>
        <w:t>Технически спецификации за комуникацията между електрическо превозно средство и зарядна точка (комуникация „превозно средство към мрежа):</w:t>
      </w:r>
    </w:p>
    <w:p w:rsidR="00C514DE" w:rsidRPr="00C514DE" w:rsidRDefault="00C514DE" w:rsidP="00C514DE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DE">
        <w:rPr>
          <w:rFonts w:ascii="Times New Roman" w:hAnsi="Times New Roman" w:cs="Times New Roman"/>
          <w:sz w:val="24"/>
          <w:szCs w:val="24"/>
        </w:rPr>
        <w:t>За целите на оперативната съвместимост публично достъпните зарядни точки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C514DE">
        <w:rPr>
          <w:rFonts w:ascii="Times New Roman" w:hAnsi="Times New Roman" w:cs="Times New Roman"/>
          <w:sz w:val="24"/>
          <w:szCs w:val="24"/>
        </w:rPr>
        <w:t>) и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C514DE">
        <w:rPr>
          <w:rFonts w:ascii="Times New Roman" w:hAnsi="Times New Roman" w:cs="Times New Roman"/>
          <w:sz w:val="24"/>
          <w:szCs w:val="24"/>
        </w:rPr>
        <w:t>), предназначени за лекотоварни и тежкотоварни електрически превозни средства и инсталирани или обновени след 8 януари 2026 година, съответстват най-малко на следните стандарти:</w:t>
      </w:r>
    </w:p>
    <w:p w:rsidR="00C514DE" w:rsidRPr="00C514DE" w:rsidRDefault="00C514DE" w:rsidP="00C514D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EN ISO 15118-1:2019 „Пътни превозни средства. Интерфейс за свързване между превозното средство и станцията за зареждане. Част 1: Обща информация и определение за случай на използване“;</w:t>
      </w:r>
    </w:p>
    <w:p w:rsidR="00C514DE" w:rsidRPr="00C514DE" w:rsidRDefault="00C514DE" w:rsidP="00C514D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EN ISO 15118-2:2016 „Пътни превозни средства. Интерфейс за свързване между превозното средство и станцията за зареждане. Част 2: Изисквания за мрежов протокол и прилагане“;</w:t>
      </w:r>
    </w:p>
    <w:p w:rsidR="00C514DE" w:rsidRPr="00C514DE" w:rsidRDefault="00C514DE" w:rsidP="00C514D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EN ISO 15118-3:2016 „Пътни превозни средства. Интерфейс за свързване между превозното средство и станцията за зареждане. Част 3: Изисквания към физичния интерфейс и изисквания към интерфейса за предаване на данни“;</w:t>
      </w:r>
    </w:p>
    <w:p w:rsidR="00C514DE" w:rsidRPr="00C514DE" w:rsidRDefault="00C514DE" w:rsidP="00C514D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EN ISO 15118-4:2019 „Пътни превозни средства. Интерфейс за свързване между превозното средство и станцията за зареждане. Част 4: Изпитване за съответствие на мрежов и приложен протокол“;</w:t>
      </w:r>
    </w:p>
    <w:p w:rsidR="00C514DE" w:rsidRPr="00C514DE" w:rsidRDefault="00C514DE" w:rsidP="00C514D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EN ISO 15118-5:2019 „Пътни превозни средства. Интерфейс за свързване между превозното средство и станцията за зареждане. Част 5: Изпитване за съответствие на физическия слой и каналния слой“.</w:t>
      </w:r>
    </w:p>
    <w:p w:rsidR="00C514DE" w:rsidRPr="00C514DE" w:rsidRDefault="00C514DE" w:rsidP="00C514DE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lastRenderedPageBreak/>
        <w:t>2.2.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DE">
        <w:rPr>
          <w:rFonts w:ascii="Times New Roman" w:hAnsi="Times New Roman" w:cs="Times New Roman"/>
          <w:sz w:val="24"/>
          <w:szCs w:val="24"/>
        </w:rPr>
        <w:t>За целите на оперативната съвместимост публично достъпните зарядни точки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C514DE">
        <w:rPr>
          <w:rFonts w:ascii="Times New Roman" w:hAnsi="Times New Roman" w:cs="Times New Roman"/>
          <w:sz w:val="24"/>
          <w:szCs w:val="24"/>
        </w:rPr>
        <w:t>) и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C514DE">
        <w:rPr>
          <w:rFonts w:ascii="Times New Roman" w:hAnsi="Times New Roman" w:cs="Times New Roman"/>
          <w:sz w:val="24"/>
          <w:szCs w:val="24"/>
        </w:rPr>
        <w:t>), предназначени за лекотоварни и тежкотоварни електрически превозни средства и инсталирани или обновени след 1 януари 2027 г., съответстват най-малко на стандарт EN ISO 15118-20:2022 „Пътни превозни средства. Интерфейс за свързване между превозното средство и станцията за зареждане. Част 20: Изисквания за мрежови и приложни протоколи от второ поколение“. Когато тези зарядни точки предлагат услуги за автоматично удостоверяване на автентичността и разрешение, като например функцията „свързване и зареждане“, те съответстват, за целите на оперативната съвместимост и сигурността, както на стандарт EN ISO 15118-2:2016, така и на стандарт EN ISO 15118-20:2022.</w:t>
      </w:r>
    </w:p>
    <w:p w:rsidR="00C514DE" w:rsidRPr="00C514DE" w:rsidRDefault="00C514DE" w:rsidP="00C514DE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DE">
        <w:rPr>
          <w:rFonts w:ascii="Times New Roman" w:hAnsi="Times New Roman" w:cs="Times New Roman"/>
          <w:sz w:val="24"/>
          <w:szCs w:val="24"/>
        </w:rPr>
        <w:t>Частните зарядни точки за променлив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C514DE">
        <w:rPr>
          <w:rFonts w:ascii="Times New Roman" w:hAnsi="Times New Roman" w:cs="Times New Roman"/>
          <w:sz w:val="24"/>
          <w:szCs w:val="24"/>
        </w:rPr>
        <w:t>) и за постоянен ток (</w:t>
      </w:r>
      <w:r w:rsidR="00FD4EAA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C514DE">
        <w:rPr>
          <w:rFonts w:ascii="Times New Roman" w:hAnsi="Times New Roman" w:cs="Times New Roman"/>
          <w:sz w:val="24"/>
          <w:szCs w:val="24"/>
        </w:rPr>
        <w:t>), предназначени за лекотоварни и тежкотоварни електрически превозни средства и инсталирани или обновени след 1 януари 2027 г., съответстват, за целите на оперативната съвместимост, най-малко на следните стандарти:</w:t>
      </w:r>
    </w:p>
    <w:p w:rsidR="00C514DE" w:rsidRPr="00C514DE" w:rsidRDefault="00C514DE" w:rsidP="00C514DE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DE">
        <w:rPr>
          <w:rFonts w:ascii="Times New Roman" w:hAnsi="Times New Roman" w:cs="Times New Roman"/>
          <w:sz w:val="24"/>
          <w:szCs w:val="24"/>
        </w:rPr>
        <w:t>EN IEC 61851-1:2019 „Системи за зареждане чрез галванична връзка на превозни средства с електрическо задвижване. Част 1: Общи изисквания“ (за зареждане в режим 2);</w:t>
      </w:r>
    </w:p>
    <w:p w:rsidR="00A27E2A" w:rsidRDefault="00C514DE" w:rsidP="00C514DE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14DE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DE">
        <w:rPr>
          <w:rFonts w:ascii="Times New Roman" w:hAnsi="Times New Roman" w:cs="Times New Roman"/>
          <w:sz w:val="24"/>
          <w:szCs w:val="24"/>
        </w:rPr>
        <w:t>EN ISO 15118-20:2022 „Пътни превозни средства. Интерфейс за свързване между превозното средство и станцията за зареждане. Част 20: Изисквания за мрежови и приложни протоколи от второ поколение“ (за зареждане в режим 3 или режим 4);“</w:t>
      </w:r>
    </w:p>
    <w:p w:rsidR="00B51C61" w:rsidRPr="0036785F" w:rsidRDefault="00A63B47" w:rsidP="00BE453C">
      <w:pPr>
        <w:autoSpaceDE w:val="0"/>
        <w:autoSpaceDN w:val="0"/>
        <w:adjustRightInd w:val="0"/>
        <w:spacing w:after="60" w:line="320" w:lineRule="exact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785F">
        <w:rPr>
          <w:rFonts w:ascii="Times New Roman" w:hAnsi="Times New Roman" w:cs="Times New Roman"/>
          <w:b/>
          <w:i/>
          <w:sz w:val="24"/>
          <w:szCs w:val="24"/>
        </w:rPr>
        <w:t xml:space="preserve">Зарядната структура следва да отговаря на всички приложими български и европейски стандарти (БДС, </w:t>
      </w:r>
      <w:r w:rsidRPr="0036785F">
        <w:rPr>
          <w:rFonts w:ascii="Times New Roman" w:hAnsi="Times New Roman" w:cs="Times New Roman"/>
          <w:b/>
          <w:i/>
          <w:sz w:val="24"/>
          <w:szCs w:val="24"/>
          <w:lang w:val="en-US"/>
        </w:rPr>
        <w:t>ISO</w:t>
      </w:r>
      <w:r w:rsidR="0064295D">
        <w:rPr>
          <w:rFonts w:ascii="Times New Roman" w:hAnsi="Times New Roman" w:cs="Times New Roman"/>
          <w:b/>
          <w:i/>
          <w:sz w:val="24"/>
          <w:szCs w:val="24"/>
          <w:lang w:val="en-US"/>
        </w:rPr>
        <w:t>, EN</w:t>
      </w:r>
      <w:r w:rsidR="00CC08F3">
        <w:rPr>
          <w:rFonts w:ascii="Times New Roman" w:hAnsi="Times New Roman" w:cs="Times New Roman"/>
          <w:b/>
          <w:i/>
          <w:sz w:val="24"/>
          <w:szCs w:val="24"/>
        </w:rPr>
        <w:t xml:space="preserve"> и еквивалентни</w:t>
      </w:r>
      <w:r w:rsidRPr="0036785F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  <w:r w:rsidRPr="0036785F">
        <w:rPr>
          <w:rFonts w:ascii="Times New Roman" w:hAnsi="Times New Roman" w:cs="Times New Roman"/>
          <w:b/>
          <w:i/>
          <w:sz w:val="24"/>
          <w:szCs w:val="24"/>
        </w:rPr>
        <w:t xml:space="preserve">, както и да </w:t>
      </w:r>
      <w:r w:rsidR="00CC08F3">
        <w:rPr>
          <w:rFonts w:ascii="Times New Roman" w:hAnsi="Times New Roman" w:cs="Times New Roman"/>
          <w:b/>
          <w:i/>
          <w:sz w:val="24"/>
          <w:szCs w:val="24"/>
        </w:rPr>
        <w:t>притежава</w:t>
      </w:r>
      <w:r w:rsidRPr="003678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C08F3">
        <w:rPr>
          <w:rFonts w:ascii="Times New Roman" w:hAnsi="Times New Roman" w:cs="Times New Roman"/>
          <w:b/>
          <w:i/>
          <w:sz w:val="24"/>
          <w:szCs w:val="24"/>
        </w:rPr>
        <w:t>всички</w:t>
      </w:r>
      <w:r w:rsidRPr="0036785F">
        <w:rPr>
          <w:rFonts w:ascii="Times New Roman" w:hAnsi="Times New Roman" w:cs="Times New Roman"/>
          <w:b/>
          <w:i/>
          <w:sz w:val="24"/>
          <w:szCs w:val="24"/>
        </w:rPr>
        <w:t xml:space="preserve"> сертификати за съответствие с приложимите норми за такъв тип инфраструктура.</w:t>
      </w:r>
    </w:p>
    <w:sectPr w:rsidR="00B51C61" w:rsidRPr="00367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C61" w:rsidRDefault="00B51C61" w:rsidP="00B51C61">
      <w:pPr>
        <w:spacing w:after="0" w:line="240" w:lineRule="auto"/>
      </w:pPr>
      <w:r>
        <w:separator/>
      </w:r>
    </w:p>
  </w:endnote>
  <w:endnote w:type="continuationSeparator" w:id="0">
    <w:p w:rsidR="00B51C61" w:rsidRDefault="00B51C61" w:rsidP="00B51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C61" w:rsidRDefault="00B51C61" w:rsidP="00B51C61">
      <w:pPr>
        <w:spacing w:after="0" w:line="240" w:lineRule="auto"/>
      </w:pPr>
      <w:r>
        <w:separator/>
      </w:r>
    </w:p>
  </w:footnote>
  <w:footnote w:type="continuationSeparator" w:id="0">
    <w:p w:rsidR="00B51C61" w:rsidRDefault="00B51C61" w:rsidP="00B51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C61" w:rsidRDefault="00B51C61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23A7653C" wp14:editId="67E3857D">
          <wp:simplePos x="0" y="0"/>
          <wp:positionH relativeFrom="column">
            <wp:posOffset>4362450</wp:posOffset>
          </wp:positionH>
          <wp:positionV relativeFrom="paragraph">
            <wp:posOffset>-343535</wp:posOffset>
          </wp:positionV>
          <wp:extent cx="1299845" cy="946150"/>
          <wp:effectExtent l="0" t="0" r="0" b="6350"/>
          <wp:wrapNone/>
          <wp:docPr id="2" name="Picture 2" descr="Logo ПТС BG V whit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ПТС BG V whit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84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3518954D" wp14:editId="0B2479BA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E1E8777"/>
    <w:multiLevelType w:val="hybridMultilevel"/>
    <w:tmpl w:val="C2E262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6AE1F38"/>
    <w:multiLevelType w:val="hybridMultilevel"/>
    <w:tmpl w:val="2C49C8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5055C8"/>
    <w:multiLevelType w:val="hybridMultilevel"/>
    <w:tmpl w:val="288854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4213B"/>
    <w:multiLevelType w:val="hybridMultilevel"/>
    <w:tmpl w:val="3F169D4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E77954"/>
    <w:multiLevelType w:val="hybridMultilevel"/>
    <w:tmpl w:val="A036B5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E7082"/>
    <w:multiLevelType w:val="hybridMultilevel"/>
    <w:tmpl w:val="DC346C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27E3E"/>
    <w:multiLevelType w:val="hybridMultilevel"/>
    <w:tmpl w:val="BE0EBFF2"/>
    <w:lvl w:ilvl="0" w:tplc="C16C065E">
      <w:start w:val="1"/>
      <w:numFmt w:val="decimal"/>
      <w:lvlText w:val="%1."/>
      <w:lvlJc w:val="left"/>
      <w:pPr>
        <w:ind w:left="720" w:hanging="360"/>
      </w:pPr>
      <w:rPr>
        <w:rFonts w:ascii="EUAlbertina" w:hAnsi="EUAlbertina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C177B"/>
    <w:multiLevelType w:val="multilevel"/>
    <w:tmpl w:val="094ACF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2AC600D"/>
    <w:multiLevelType w:val="hybridMultilevel"/>
    <w:tmpl w:val="E8A46C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F4D48"/>
    <w:multiLevelType w:val="hybridMultilevel"/>
    <w:tmpl w:val="9EB603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4C1007F"/>
    <w:multiLevelType w:val="hybridMultilevel"/>
    <w:tmpl w:val="75BC19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62DEF"/>
    <w:multiLevelType w:val="hybridMultilevel"/>
    <w:tmpl w:val="422AAA4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D917E"/>
    <w:multiLevelType w:val="hybridMultilevel"/>
    <w:tmpl w:val="607CD4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830207C"/>
    <w:multiLevelType w:val="hybridMultilevel"/>
    <w:tmpl w:val="28D60D50"/>
    <w:lvl w:ilvl="0" w:tplc="2AF20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E28FA"/>
    <w:multiLevelType w:val="hybridMultilevel"/>
    <w:tmpl w:val="9BC3AB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2"/>
  </w:num>
  <w:num w:numId="5">
    <w:abstractNumId w:val="14"/>
  </w:num>
  <w:num w:numId="6">
    <w:abstractNumId w:val="6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11"/>
  </w:num>
  <w:num w:numId="12">
    <w:abstractNumId w:val="7"/>
  </w:num>
  <w:num w:numId="13">
    <w:abstractNumId w:val="3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DD"/>
    <w:rsid w:val="000264FE"/>
    <w:rsid w:val="001E6655"/>
    <w:rsid w:val="0036785F"/>
    <w:rsid w:val="00483140"/>
    <w:rsid w:val="00500A32"/>
    <w:rsid w:val="0064295D"/>
    <w:rsid w:val="00A138AC"/>
    <w:rsid w:val="00A27E2A"/>
    <w:rsid w:val="00A62A56"/>
    <w:rsid w:val="00A63B47"/>
    <w:rsid w:val="00B51C61"/>
    <w:rsid w:val="00BD0A63"/>
    <w:rsid w:val="00BE453C"/>
    <w:rsid w:val="00BE775C"/>
    <w:rsid w:val="00C514DE"/>
    <w:rsid w:val="00CA5E09"/>
    <w:rsid w:val="00CC08F3"/>
    <w:rsid w:val="00D309BD"/>
    <w:rsid w:val="00D4239E"/>
    <w:rsid w:val="00DD01DD"/>
    <w:rsid w:val="00F25E92"/>
    <w:rsid w:val="00FD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E5229-7D89-4B09-B58F-3A909793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01D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61"/>
  </w:style>
  <w:style w:type="paragraph" w:styleId="Footer">
    <w:name w:val="footer"/>
    <w:basedOn w:val="Normal"/>
    <w:link w:val="FooterChar"/>
    <w:uiPriority w:val="99"/>
    <w:unhideWhenUsed/>
    <w:rsid w:val="00B5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C61"/>
  </w:style>
  <w:style w:type="paragraph" w:styleId="BalloonText">
    <w:name w:val="Balloon Text"/>
    <w:basedOn w:val="Normal"/>
    <w:link w:val="BalloonTextChar"/>
    <w:uiPriority w:val="99"/>
    <w:semiHidden/>
    <w:unhideWhenUsed/>
    <w:rsid w:val="00A13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Galina Marinova</cp:lastModifiedBy>
  <cp:revision>4</cp:revision>
  <dcterms:created xsi:type="dcterms:W3CDTF">2025-11-06T13:01:00Z</dcterms:created>
  <dcterms:modified xsi:type="dcterms:W3CDTF">2025-11-07T08:02:00Z</dcterms:modified>
</cp:coreProperties>
</file>